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A117D" w14:textId="6CD4BAE8" w:rsidR="00F06BDD" w:rsidRPr="00863065" w:rsidRDefault="00F06BDD" w:rsidP="00F06BDD">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Pr>
          <w:rFonts w:cs="Arial" w:hint="eastAsia"/>
        </w:rPr>
        <w:t>28</w:t>
      </w:r>
      <w:r w:rsidRPr="00863065">
        <w:rPr>
          <w:rFonts w:cs="Arial"/>
        </w:rPr>
        <w:tab/>
      </w:r>
      <w:r w:rsidRPr="008C16A3">
        <w:rPr>
          <w:rFonts w:cs="Arial"/>
        </w:rPr>
        <w:t>R</w:t>
      </w:r>
      <w:r w:rsidRPr="008C16A3">
        <w:rPr>
          <w:rFonts w:cs="Arial" w:hint="eastAsia"/>
        </w:rPr>
        <w:t>2</w:t>
      </w:r>
      <w:r w:rsidRPr="008C16A3">
        <w:rPr>
          <w:rFonts w:cs="Arial"/>
        </w:rPr>
        <w:t>-2</w:t>
      </w:r>
      <w:r w:rsidRPr="008C16A3">
        <w:rPr>
          <w:rFonts w:cs="Arial" w:hint="eastAsia"/>
        </w:rPr>
        <w:t>4</w:t>
      </w:r>
      <w:r w:rsidR="00797AD0" w:rsidRPr="008C16A3">
        <w:rPr>
          <w:rFonts w:cs="Arial" w:hint="eastAsia"/>
        </w:rPr>
        <w:t>10311</w:t>
      </w:r>
    </w:p>
    <w:p w14:paraId="23FDDCED" w14:textId="77777777" w:rsidR="00F06BDD" w:rsidRPr="00863065" w:rsidRDefault="00F06BDD" w:rsidP="00F06BDD">
      <w:pPr>
        <w:pStyle w:val="a7"/>
        <w:tabs>
          <w:tab w:val="left" w:pos="709"/>
          <w:tab w:val="right" w:pos="9639"/>
        </w:tabs>
        <w:spacing w:after="0"/>
        <w:jc w:val="left"/>
        <w:rPr>
          <w:rFonts w:cs="Arial"/>
          <w:lang w:val="en-US"/>
        </w:rPr>
      </w:pPr>
      <w:r>
        <w:rPr>
          <w:rFonts w:cs="Arial" w:hint="eastAsia"/>
          <w:lang w:val="en-US"/>
        </w:rPr>
        <w:t>Orlando</w:t>
      </w:r>
      <w:r>
        <w:rPr>
          <w:rFonts w:cs="Arial"/>
          <w:lang w:val="en-US"/>
        </w:rPr>
        <w:t xml:space="preserve">, </w:t>
      </w:r>
      <w:r>
        <w:rPr>
          <w:rFonts w:cs="Arial" w:hint="eastAsia"/>
          <w:lang w:val="en-US"/>
        </w:rPr>
        <w:t>US</w:t>
      </w:r>
      <w:r>
        <w:rPr>
          <w:rFonts w:cs="Arial"/>
          <w:lang w:val="en-US"/>
        </w:rPr>
        <w:t xml:space="preserve">, </w:t>
      </w:r>
      <w:r>
        <w:rPr>
          <w:rFonts w:cs="Arial" w:hint="eastAsia"/>
          <w:lang w:val="en-US"/>
        </w:rPr>
        <w:t>18</w:t>
      </w:r>
      <w:r w:rsidRPr="00ED4390">
        <w:rPr>
          <w:rFonts w:cs="Arial" w:hint="eastAsia"/>
          <w:vertAlign w:val="superscript"/>
          <w:lang w:val="en-US"/>
        </w:rPr>
        <w:t>th</w:t>
      </w:r>
      <w:r>
        <w:rPr>
          <w:rFonts w:cs="Arial" w:hint="eastAsia"/>
          <w:lang w:val="en-US"/>
        </w:rPr>
        <w:t xml:space="preserve"> </w:t>
      </w:r>
      <w:r>
        <w:rPr>
          <w:rFonts w:cs="Arial"/>
          <w:lang w:val="en-US"/>
        </w:rPr>
        <w:t>–</w:t>
      </w:r>
      <w:r>
        <w:rPr>
          <w:rFonts w:cs="Arial" w:hint="eastAsia"/>
          <w:lang w:val="en-US"/>
        </w:rPr>
        <w:t xml:space="preserve"> 22</w:t>
      </w:r>
      <w:r w:rsidRPr="00ED4390">
        <w:rPr>
          <w:rFonts w:cs="Arial" w:hint="eastAsia"/>
          <w:vertAlign w:val="superscript"/>
          <w:lang w:val="en-US"/>
        </w:rPr>
        <w:t>nd</w:t>
      </w:r>
      <w:r>
        <w:rPr>
          <w:rFonts w:cs="Arial" w:hint="eastAsia"/>
          <w:lang w:val="en-US"/>
        </w:rPr>
        <w:t xml:space="preserve">, </w:t>
      </w:r>
      <w:r>
        <w:rPr>
          <w:rFonts w:cs="Arial"/>
          <w:lang w:val="en-US"/>
        </w:rPr>
        <w:t>November</w:t>
      </w:r>
      <w:r>
        <w:rPr>
          <w:rFonts w:cs="Arial" w:hint="eastAsia"/>
          <w:lang w:val="en-US"/>
        </w:rPr>
        <w:t xml:space="preserve"> 2024</w:t>
      </w:r>
    </w:p>
    <w:p w14:paraId="5D1134E1" w14:textId="6114B414" w:rsidR="00F06BDD" w:rsidRPr="00863065" w:rsidRDefault="00F06BDD" w:rsidP="00F06BDD">
      <w:pPr>
        <w:keepNext/>
        <w:pBdr>
          <w:top w:val="single" w:sz="4" w:space="1" w:color="auto"/>
        </w:pBdr>
        <w:tabs>
          <w:tab w:val="left" w:pos="2552"/>
        </w:tabs>
        <w:ind w:left="2550" w:hanging="2550"/>
        <w:rPr>
          <w:rFonts w:cs="Arial"/>
          <w:b/>
          <w:sz w:val="24"/>
        </w:rPr>
      </w:pPr>
      <w:r w:rsidRPr="00863065">
        <w:rPr>
          <w:rFonts w:cs="Arial"/>
          <w:b/>
          <w:sz w:val="24"/>
        </w:rPr>
        <w:t>Source:</w:t>
      </w:r>
      <w:r>
        <w:rPr>
          <w:rFonts w:cs="Arial"/>
          <w:b/>
          <w:sz w:val="24"/>
        </w:rPr>
        <w:tab/>
      </w:r>
      <w:r>
        <w:rPr>
          <w:rFonts w:cs="Arial" w:hint="eastAsia"/>
          <w:b/>
          <w:sz w:val="24"/>
        </w:rPr>
        <w:t>NTT DOCOMO, INC.</w:t>
      </w:r>
    </w:p>
    <w:p w14:paraId="78269232" w14:textId="53D8638B" w:rsidR="00F06BDD" w:rsidRPr="00863065" w:rsidRDefault="00F06BDD" w:rsidP="00F06BDD">
      <w:pPr>
        <w:keepNext/>
        <w:pBdr>
          <w:top w:val="single" w:sz="4" w:space="1" w:color="auto"/>
        </w:pBdr>
        <w:tabs>
          <w:tab w:val="left" w:pos="2552"/>
        </w:tabs>
        <w:ind w:left="2550" w:hanging="2550"/>
        <w:rPr>
          <w:rFonts w:cs="Arial"/>
          <w:b/>
          <w:sz w:val="24"/>
        </w:rPr>
      </w:pPr>
      <w:r w:rsidRPr="00863065">
        <w:rPr>
          <w:rFonts w:cs="Arial"/>
          <w:b/>
          <w:sz w:val="24"/>
        </w:rPr>
        <w:t>Title:</w:t>
      </w:r>
      <w:r>
        <w:rPr>
          <w:rFonts w:cs="Arial"/>
          <w:b/>
          <w:sz w:val="24"/>
        </w:rPr>
        <w:tab/>
      </w:r>
      <w:r w:rsidRPr="00F06BDD">
        <w:rPr>
          <w:rFonts w:cs="Arial"/>
          <w:b/>
          <w:sz w:val="24"/>
        </w:rPr>
        <w:t>Remaining issues on study of AIoT functionalities</w:t>
      </w:r>
    </w:p>
    <w:p w14:paraId="7AC38F08" w14:textId="77777777" w:rsidR="00F06BDD" w:rsidRPr="00863065" w:rsidRDefault="00F06BDD" w:rsidP="00F06BDD">
      <w:pPr>
        <w:keepNext/>
        <w:tabs>
          <w:tab w:val="left" w:pos="2552"/>
        </w:tabs>
        <w:rPr>
          <w:rFonts w:cs="Arial"/>
          <w:b/>
          <w:sz w:val="24"/>
        </w:rPr>
      </w:pPr>
      <w:r w:rsidRPr="00863065">
        <w:rPr>
          <w:rFonts w:cs="Arial"/>
          <w:b/>
          <w:sz w:val="24"/>
        </w:rPr>
        <w:t>Document for:</w:t>
      </w:r>
      <w:r>
        <w:rPr>
          <w:rFonts w:cs="Arial"/>
          <w:b/>
          <w:sz w:val="24"/>
        </w:rPr>
        <w:tab/>
      </w:r>
      <w:r>
        <w:rPr>
          <w:rFonts w:cs="Arial" w:hint="eastAsia"/>
          <w:b/>
          <w:sz w:val="24"/>
        </w:rPr>
        <w:t>Discussion and decision</w:t>
      </w:r>
    </w:p>
    <w:p w14:paraId="3B532450" w14:textId="2A861248" w:rsidR="00F06BDD" w:rsidRPr="00863065" w:rsidRDefault="00F06BDD" w:rsidP="00F06BDD">
      <w:pPr>
        <w:keepNext/>
        <w:pBdr>
          <w:bottom w:val="single" w:sz="4" w:space="1" w:color="auto"/>
        </w:pBdr>
        <w:tabs>
          <w:tab w:val="left" w:pos="2552"/>
        </w:tabs>
        <w:rPr>
          <w:rFonts w:cs="Arial"/>
          <w:b/>
          <w:sz w:val="24"/>
        </w:rPr>
      </w:pPr>
      <w:r w:rsidRPr="00863065">
        <w:rPr>
          <w:rFonts w:cs="Arial"/>
          <w:b/>
          <w:sz w:val="24"/>
        </w:rPr>
        <w:t>Agenda Item:</w:t>
      </w:r>
      <w:r>
        <w:rPr>
          <w:rFonts w:cs="Arial"/>
          <w:b/>
          <w:sz w:val="24"/>
        </w:rPr>
        <w:tab/>
      </w:r>
      <w:r w:rsidR="00120812">
        <w:rPr>
          <w:rFonts w:cs="Arial" w:hint="eastAsia"/>
          <w:b/>
          <w:sz w:val="24"/>
        </w:rPr>
        <w:t>8</w:t>
      </w:r>
      <w:r>
        <w:rPr>
          <w:rFonts w:cs="Arial"/>
          <w:b/>
          <w:sz w:val="24"/>
        </w:rPr>
        <w:t>.</w:t>
      </w:r>
      <w:r w:rsidR="00120812">
        <w:rPr>
          <w:rFonts w:cs="Arial" w:hint="eastAsia"/>
          <w:b/>
          <w:sz w:val="24"/>
        </w:rPr>
        <w:t>2</w:t>
      </w:r>
      <w:r>
        <w:rPr>
          <w:rFonts w:cs="Arial"/>
          <w:b/>
          <w:sz w:val="24"/>
        </w:rPr>
        <w:t>.</w:t>
      </w:r>
      <w:r>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5F94123E" w:rsidR="007E2FC8" w:rsidRDefault="00313FFF" w:rsidP="007E2FC8">
      <w:pPr>
        <w:rPr>
          <w:szCs w:val="22"/>
        </w:rPr>
      </w:pPr>
      <w:r>
        <w:rPr>
          <w:rFonts w:hint="eastAsia"/>
          <w:szCs w:val="22"/>
        </w:rPr>
        <w:t xml:space="preserve">The SI: </w:t>
      </w:r>
      <w:r w:rsidRPr="00313FFF">
        <w:rPr>
          <w:szCs w:val="22"/>
        </w:rPr>
        <w:t>FS_ Ambient_IoT_Solutions_RAN</w:t>
      </w:r>
      <w:r w:rsidR="00803C46">
        <w:rPr>
          <w:rFonts w:hint="eastAsia"/>
          <w:szCs w:val="22"/>
        </w:rPr>
        <w:t xml:space="preserve"> is planned to be </w:t>
      </w:r>
      <w:r w:rsidR="00B01ADF">
        <w:rPr>
          <w:rFonts w:hint="eastAsia"/>
          <w:szCs w:val="22"/>
        </w:rPr>
        <w:t xml:space="preserve">closed in this meeting </w:t>
      </w:r>
      <w:r w:rsidR="00F2773A">
        <w:rPr>
          <w:rFonts w:hint="eastAsia"/>
          <w:szCs w:val="22"/>
        </w:rPr>
        <w:t>[1]</w:t>
      </w:r>
      <w:r w:rsidR="00B01ADF">
        <w:rPr>
          <w:rFonts w:hint="eastAsia"/>
          <w:szCs w:val="22"/>
        </w:rPr>
        <w:t>.</w:t>
      </w:r>
      <w:r>
        <w:rPr>
          <w:rFonts w:hint="eastAsia"/>
          <w:szCs w:val="22"/>
        </w:rPr>
        <w:t xml:space="preserve"> </w:t>
      </w:r>
      <w:r>
        <w:rPr>
          <w:szCs w:val="22"/>
        </w:rPr>
        <w:t>This</w:t>
      </w:r>
      <w:r>
        <w:rPr>
          <w:rFonts w:hint="eastAsia"/>
          <w:szCs w:val="22"/>
        </w:rPr>
        <w:t xml:space="preserve"> contribution provides our views on </w:t>
      </w:r>
      <w:r w:rsidR="00B01ADF">
        <w:rPr>
          <w:rFonts w:hint="eastAsia"/>
          <w:szCs w:val="22"/>
        </w:rPr>
        <w:t>remaining issues to conclude the study on functionality aspects of Ambient IoT.</w:t>
      </w:r>
    </w:p>
    <w:p w14:paraId="79CCE832" w14:textId="77777777" w:rsidR="00313FFF" w:rsidRPr="00262F8E" w:rsidRDefault="00313FFF"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77DCFB1C" w:rsidR="007E2FC8" w:rsidRDefault="00B01ADF" w:rsidP="007E2FC8">
      <w:pPr>
        <w:pStyle w:val="2"/>
        <w:numPr>
          <w:ilvl w:val="1"/>
          <w:numId w:val="2"/>
        </w:numPr>
        <w:rPr>
          <w:rFonts w:cs="Arial"/>
        </w:rPr>
      </w:pPr>
      <w:r>
        <w:rPr>
          <w:rFonts w:cs="Arial" w:hint="eastAsia"/>
        </w:rPr>
        <w:t>AS ID</w:t>
      </w:r>
    </w:p>
    <w:p w14:paraId="01F2FEF2" w14:textId="18B03EBF" w:rsidR="007E2FC8" w:rsidRDefault="001213B9" w:rsidP="007E2FC8">
      <w:pPr>
        <w:rPr>
          <w:bCs/>
          <w:szCs w:val="22"/>
        </w:rPr>
      </w:pPr>
      <w:r>
        <w:rPr>
          <w:rFonts w:hint="eastAsia"/>
          <w:bCs/>
          <w:szCs w:val="22"/>
        </w:rPr>
        <w:t xml:space="preserve">In the last meeting, an FFS is left on </w:t>
      </w:r>
      <w:r w:rsidR="00955FAE">
        <w:rPr>
          <w:rFonts w:hint="eastAsia"/>
          <w:bCs/>
          <w:szCs w:val="22"/>
        </w:rPr>
        <w:t xml:space="preserve">whether the </w:t>
      </w:r>
      <w:r w:rsidR="00955FAE">
        <w:rPr>
          <w:bCs/>
          <w:szCs w:val="22"/>
        </w:rPr>
        <w:t>“</w:t>
      </w:r>
      <w:r w:rsidR="00955FAE">
        <w:rPr>
          <w:rFonts w:hint="eastAsia"/>
          <w:bCs/>
          <w:szCs w:val="22"/>
        </w:rPr>
        <w:t>AS ID</w:t>
      </w:r>
      <w:r w:rsidR="00955FAE">
        <w:rPr>
          <w:bCs/>
          <w:szCs w:val="22"/>
        </w:rPr>
        <w:t>”</w:t>
      </w:r>
      <w:r w:rsidR="00955FAE">
        <w:rPr>
          <w:rFonts w:hint="eastAsia"/>
          <w:bCs/>
          <w:szCs w:val="22"/>
        </w:rPr>
        <w:t xml:space="preserve"> can be based on a part of upper layer device ID (i.e., permanent device ID).</w:t>
      </w:r>
    </w:p>
    <w:tbl>
      <w:tblPr>
        <w:tblStyle w:val="ab"/>
        <w:tblW w:w="0" w:type="auto"/>
        <w:tblLook w:val="04A0" w:firstRow="1" w:lastRow="0" w:firstColumn="1" w:lastColumn="0" w:noHBand="0" w:noVBand="1"/>
      </w:tblPr>
      <w:tblGrid>
        <w:gridCol w:w="9629"/>
      </w:tblGrid>
      <w:tr w:rsidR="001213B9" w14:paraId="211FB9E4" w14:textId="77777777" w:rsidTr="001213B9">
        <w:tc>
          <w:tcPr>
            <w:tcW w:w="9629" w:type="dxa"/>
          </w:tcPr>
          <w:p w14:paraId="402AB370" w14:textId="3FB39060" w:rsidR="00A6332C" w:rsidRPr="00A6332C" w:rsidRDefault="00A6332C" w:rsidP="001213B9">
            <w:pPr>
              <w:pStyle w:val="Doc-text2"/>
              <w:ind w:left="363"/>
              <w:rPr>
                <w:lang w:eastAsia="ja-JP"/>
              </w:rPr>
            </w:pPr>
            <w:r>
              <w:rPr>
                <w:rFonts w:hint="eastAsia"/>
                <w:b/>
                <w:bCs/>
                <w:u w:val="single"/>
                <w:lang w:eastAsia="ja-JP"/>
              </w:rPr>
              <w:t>RAN2#127-bis</w:t>
            </w:r>
            <w:r>
              <w:rPr>
                <w:rFonts w:hint="eastAsia"/>
                <w:lang w:eastAsia="ja-JP"/>
              </w:rPr>
              <w:t xml:space="preserve"> </w:t>
            </w:r>
            <w:r w:rsidR="00F2773A">
              <w:rPr>
                <w:rFonts w:hint="eastAsia"/>
                <w:lang w:eastAsia="ja-JP"/>
              </w:rPr>
              <w:t>[2]</w:t>
            </w:r>
          </w:p>
          <w:p w14:paraId="0323B262" w14:textId="77777777" w:rsidR="001213B9" w:rsidRDefault="001213B9" w:rsidP="001213B9">
            <w:pPr>
              <w:pStyle w:val="Agreement"/>
              <w:ind w:left="360"/>
            </w:pPr>
            <w:r>
              <w:t>RAN2 assumes that if “</w:t>
            </w:r>
            <w:r w:rsidRPr="00CD3F8C">
              <w:t>AS ID</w:t>
            </w:r>
            <w:r>
              <w:t>”</w:t>
            </w:r>
            <w:r w:rsidRPr="00CD3F8C">
              <w:t xml:space="preserve"> </w:t>
            </w:r>
            <w:r>
              <w:t>is defined it is used</w:t>
            </w:r>
            <w:r w:rsidRPr="00CD3F8C">
              <w:t xml:space="preserve"> </w:t>
            </w:r>
            <w:r>
              <w:t xml:space="preserve">at least </w:t>
            </w:r>
            <w:r w:rsidRPr="00CD3F8C">
              <w:t>for purpose of D2R scheduling and R2D reception</w:t>
            </w:r>
            <w:r>
              <w:t xml:space="preserve">.  Up to RAN1 to decide whether a “AS ID” is defined.  </w:t>
            </w:r>
          </w:p>
          <w:p w14:paraId="4D751E7F" w14:textId="66A2F23C" w:rsidR="001213B9" w:rsidRDefault="001213B9" w:rsidP="00A6332C">
            <w:pPr>
              <w:pStyle w:val="Agreement"/>
              <w:ind w:left="360"/>
              <w:rPr>
                <w:bCs/>
                <w:szCs w:val="22"/>
              </w:rPr>
            </w:pPr>
            <w:r w:rsidRPr="00F462CD">
              <w:t xml:space="preserve">RAN2 assumes this “AS ID” </w:t>
            </w:r>
            <w:r>
              <w:t>should</w:t>
            </w:r>
            <w:r w:rsidRPr="00F462CD">
              <w:t xml:space="preserve"> be a short AS layer ID, rather than the</w:t>
            </w:r>
            <w:r>
              <w:t xml:space="preserve"> full</w:t>
            </w:r>
            <w:r w:rsidRPr="00F462CD">
              <w:t xml:space="preserve"> upper layer device ID</w:t>
            </w:r>
            <w:r>
              <w:t xml:space="preserve">.  FFS on the length.   </w:t>
            </w:r>
            <w:r w:rsidRPr="00955FAE">
              <w:rPr>
                <w:highlight w:val="yellow"/>
              </w:rPr>
              <w:t>FFS if AS ID can be based on partial upper layer device ID.</w:t>
            </w:r>
            <w:r>
              <w:t xml:space="preserve">     </w:t>
            </w:r>
          </w:p>
        </w:tc>
      </w:tr>
    </w:tbl>
    <w:p w14:paraId="4C0A3081" w14:textId="77777777" w:rsidR="00955FAE" w:rsidRDefault="00955FAE" w:rsidP="007E2FC8">
      <w:pPr>
        <w:rPr>
          <w:bCs/>
          <w:szCs w:val="22"/>
        </w:rPr>
      </w:pPr>
      <w:r>
        <w:rPr>
          <w:rFonts w:hint="eastAsia"/>
          <w:bCs/>
          <w:szCs w:val="22"/>
        </w:rPr>
        <w:t>We have a strong concern on allowing to use a permanent device ID for AS ID. There are two reasons:</w:t>
      </w:r>
    </w:p>
    <w:p w14:paraId="54C86DFB" w14:textId="16369B33" w:rsidR="00955FAE" w:rsidRDefault="00B21E6A" w:rsidP="00955FAE">
      <w:pPr>
        <w:pStyle w:val="aa"/>
        <w:numPr>
          <w:ilvl w:val="0"/>
          <w:numId w:val="4"/>
        </w:numPr>
        <w:ind w:leftChars="0"/>
        <w:rPr>
          <w:bCs/>
          <w:szCs w:val="22"/>
        </w:rPr>
      </w:pPr>
      <w:r w:rsidRPr="00514913">
        <w:rPr>
          <w:rFonts w:hint="eastAsia"/>
          <w:b/>
          <w:szCs w:val="22"/>
        </w:rPr>
        <w:t>Security concern.</w:t>
      </w:r>
      <w:r>
        <w:rPr>
          <w:rFonts w:hint="eastAsia"/>
          <w:bCs/>
          <w:szCs w:val="22"/>
        </w:rPr>
        <w:t xml:space="preserve"> </w:t>
      </w:r>
      <w:r w:rsidR="00955FAE" w:rsidRPr="00955FAE">
        <w:rPr>
          <w:rFonts w:hint="eastAsia"/>
          <w:bCs/>
          <w:szCs w:val="22"/>
        </w:rPr>
        <w:t>AS ID is used for purpose of D2R scheduling and R2D reception</w:t>
      </w:r>
      <w:r>
        <w:rPr>
          <w:rFonts w:hint="eastAsia"/>
          <w:bCs/>
          <w:szCs w:val="22"/>
        </w:rPr>
        <w:t>;</w:t>
      </w:r>
      <w:r w:rsidR="00955FAE">
        <w:rPr>
          <w:rFonts w:hint="eastAsia"/>
          <w:bCs/>
          <w:szCs w:val="22"/>
        </w:rPr>
        <w:t xml:space="preserve"> </w:t>
      </w:r>
      <w:r>
        <w:rPr>
          <w:rFonts w:hint="eastAsia"/>
          <w:bCs/>
          <w:szCs w:val="22"/>
        </w:rPr>
        <w:t>t</w:t>
      </w:r>
      <w:r w:rsidR="00955FAE">
        <w:rPr>
          <w:rFonts w:hint="eastAsia"/>
          <w:bCs/>
          <w:szCs w:val="22"/>
        </w:rPr>
        <w:t xml:space="preserve">his means that the AS ID is attached with D2R and R2D messages in A-IoT air interface. Considering that we do not assume AS security in A-IoT </w:t>
      </w:r>
      <w:r w:rsidR="00955FAE">
        <w:rPr>
          <w:bCs/>
          <w:szCs w:val="22"/>
        </w:rPr>
        <w:t>protocol</w:t>
      </w:r>
      <w:r w:rsidR="00955FAE">
        <w:rPr>
          <w:rFonts w:hint="eastAsia"/>
          <w:bCs/>
          <w:szCs w:val="22"/>
        </w:rPr>
        <w:t xml:space="preserve"> stack, AS ID is not security protected either</w:t>
      </w:r>
      <w:r>
        <w:rPr>
          <w:rFonts w:hint="eastAsia"/>
          <w:bCs/>
          <w:szCs w:val="22"/>
        </w:rPr>
        <w:t>, thus any receiver can intercept AS ID without decryption</w:t>
      </w:r>
      <w:r w:rsidR="00955FAE">
        <w:rPr>
          <w:rFonts w:hint="eastAsia"/>
          <w:bCs/>
          <w:szCs w:val="22"/>
        </w:rPr>
        <w:t xml:space="preserve">. </w:t>
      </w:r>
      <w:r w:rsidR="002B7BBD">
        <w:rPr>
          <w:rFonts w:hint="eastAsia"/>
          <w:bCs/>
          <w:szCs w:val="22"/>
        </w:rPr>
        <w:t>If partial upper layer device ID is used as an AS ID, t</w:t>
      </w:r>
      <w:r>
        <w:rPr>
          <w:rFonts w:hint="eastAsia"/>
          <w:bCs/>
          <w:szCs w:val="22"/>
        </w:rPr>
        <w:t xml:space="preserve">he problem is that even a part of the upper layer device ID does not change permanently. </w:t>
      </w:r>
      <w:r w:rsidR="00254CCA" w:rsidRPr="00514913">
        <w:rPr>
          <w:rFonts w:hint="eastAsia"/>
          <w:b/>
          <w:szCs w:val="22"/>
        </w:rPr>
        <w:t xml:space="preserve">This is an issue that allows any malicious third party, or any competitor against our </w:t>
      </w:r>
      <w:r w:rsidR="00254CCA" w:rsidRPr="00514913">
        <w:rPr>
          <w:b/>
          <w:szCs w:val="22"/>
        </w:rPr>
        <w:t>customers</w:t>
      </w:r>
      <w:r w:rsidR="00254CCA" w:rsidRPr="00514913">
        <w:rPr>
          <w:rFonts w:hint="eastAsia"/>
          <w:b/>
          <w:szCs w:val="22"/>
        </w:rPr>
        <w:t xml:space="preserve"> who purchased A-IoT system, can physically trace Ambient IoT device.</w:t>
      </w:r>
    </w:p>
    <w:p w14:paraId="5E6210EE" w14:textId="3D91B3B5" w:rsidR="00254CCA" w:rsidRPr="00955FAE" w:rsidRDefault="00254CCA" w:rsidP="00955FAE">
      <w:pPr>
        <w:pStyle w:val="aa"/>
        <w:numPr>
          <w:ilvl w:val="0"/>
          <w:numId w:val="4"/>
        </w:numPr>
        <w:ind w:leftChars="0"/>
        <w:rPr>
          <w:bCs/>
          <w:szCs w:val="22"/>
        </w:rPr>
      </w:pPr>
      <w:r w:rsidRPr="00514913">
        <w:rPr>
          <w:rFonts w:hint="eastAsia"/>
          <w:b/>
          <w:szCs w:val="22"/>
        </w:rPr>
        <w:t xml:space="preserve">Permanent device ID is </w:t>
      </w:r>
      <w:r w:rsidRPr="00514913">
        <w:rPr>
          <w:b/>
          <w:szCs w:val="22"/>
        </w:rPr>
        <w:t>unique,</w:t>
      </w:r>
      <w:r w:rsidRPr="00514913">
        <w:rPr>
          <w:rFonts w:hint="eastAsia"/>
          <w:b/>
          <w:szCs w:val="22"/>
        </w:rPr>
        <w:t xml:space="preserve"> but a part of it is not unique. </w:t>
      </w:r>
      <w:r>
        <w:rPr>
          <w:rFonts w:hint="eastAsia"/>
          <w:bCs/>
          <w:szCs w:val="22"/>
        </w:rPr>
        <w:t>We do not see a reason to utilize permanent numbers that can collide each other for AS IDs</w:t>
      </w:r>
      <w:r w:rsidR="007B58D4">
        <w:rPr>
          <w:rFonts w:hint="eastAsia"/>
          <w:bCs/>
          <w:szCs w:val="22"/>
        </w:rPr>
        <w:t xml:space="preserve">. Especially when the two </w:t>
      </w:r>
      <w:r w:rsidR="007B58D4">
        <w:rPr>
          <w:bCs/>
          <w:szCs w:val="22"/>
        </w:rPr>
        <w:t>proximate</w:t>
      </w:r>
      <w:r w:rsidR="007B58D4">
        <w:rPr>
          <w:rFonts w:hint="eastAsia"/>
          <w:bCs/>
          <w:szCs w:val="22"/>
        </w:rPr>
        <w:t xml:space="preserve"> A-IoT devices have the same permanent AS ID, the collision cannot be resolved, i.e.,</w:t>
      </w:r>
      <w:r w:rsidR="007B58D4" w:rsidRPr="007B58D4">
        <w:rPr>
          <w:rFonts w:hint="eastAsia"/>
          <w:bCs/>
          <w:szCs w:val="22"/>
        </w:rPr>
        <w:t xml:space="preserve"> </w:t>
      </w:r>
      <w:r w:rsidR="007B58D4">
        <w:rPr>
          <w:rFonts w:hint="eastAsia"/>
          <w:bCs/>
          <w:szCs w:val="22"/>
        </w:rPr>
        <w:t>unless the devices distance themselves from each other enough, all R2D messages to either of them is received by both devices while the reader cannot make sure which of them sent any D2R messages which is sent by either of them.</w:t>
      </w:r>
    </w:p>
    <w:p w14:paraId="37EC9531" w14:textId="285CBBE8" w:rsidR="00525415" w:rsidRDefault="007B58D4" w:rsidP="007E2FC8">
      <w:pPr>
        <w:rPr>
          <w:bCs/>
          <w:szCs w:val="22"/>
        </w:rPr>
      </w:pPr>
      <w:r>
        <w:rPr>
          <w:rFonts w:hint="eastAsia"/>
          <w:bCs/>
          <w:szCs w:val="22"/>
        </w:rPr>
        <w:t xml:space="preserve">Therefore, </w:t>
      </w:r>
      <w:r>
        <w:rPr>
          <w:bCs/>
          <w:szCs w:val="22"/>
        </w:rPr>
        <w:t>“</w:t>
      </w:r>
      <w:r>
        <w:rPr>
          <w:rFonts w:hint="eastAsia"/>
          <w:bCs/>
          <w:szCs w:val="22"/>
        </w:rPr>
        <w:t>AS ID</w:t>
      </w:r>
      <w:r>
        <w:rPr>
          <w:bCs/>
          <w:szCs w:val="22"/>
        </w:rPr>
        <w:t>”</w:t>
      </w:r>
      <w:r>
        <w:rPr>
          <w:rFonts w:hint="eastAsia"/>
          <w:bCs/>
          <w:szCs w:val="22"/>
        </w:rPr>
        <w:t xml:space="preserve"> should be a temporary ID</w:t>
      </w:r>
      <w:r w:rsidR="00A6332C">
        <w:rPr>
          <w:rFonts w:hint="eastAsia"/>
          <w:bCs/>
          <w:szCs w:val="22"/>
        </w:rPr>
        <w:t xml:space="preserve"> generated in AS layer.</w:t>
      </w:r>
    </w:p>
    <w:p w14:paraId="01704E90" w14:textId="2326AD7E" w:rsidR="00F705B9" w:rsidRDefault="00F705B9" w:rsidP="00F705B9">
      <w:pPr>
        <w:pStyle w:val="ObservationandProposal"/>
      </w:pPr>
      <w:r>
        <w:rPr>
          <w:rFonts w:hint="eastAsia"/>
        </w:rPr>
        <w:t xml:space="preserve">Proposal </w:t>
      </w:r>
      <w:r w:rsidR="00275298">
        <w:rPr>
          <w:rFonts w:hint="eastAsia"/>
        </w:rPr>
        <w:t>1</w:t>
      </w:r>
      <w:r>
        <w:rPr>
          <w:rFonts w:hint="eastAsia"/>
        </w:rPr>
        <w:t>.</w:t>
      </w:r>
      <w:r>
        <w:tab/>
        <w:t>“</w:t>
      </w:r>
      <w:r>
        <w:rPr>
          <w:rFonts w:hint="eastAsia"/>
        </w:rPr>
        <w:t>AS ID</w:t>
      </w:r>
      <w:r>
        <w:t>”</w:t>
      </w:r>
      <w:r>
        <w:rPr>
          <w:rFonts w:hint="eastAsia"/>
        </w:rPr>
        <w:t xml:space="preserve"> is a temporary </w:t>
      </w:r>
      <w:r w:rsidR="00254CCA">
        <w:rPr>
          <w:rFonts w:hint="eastAsia"/>
        </w:rPr>
        <w:t xml:space="preserve">ID which is generated in </w:t>
      </w:r>
      <w:r w:rsidR="00A6332C">
        <w:rPr>
          <w:rFonts w:hint="eastAsia"/>
        </w:rPr>
        <w:t>AS</w:t>
      </w:r>
      <w:r w:rsidR="00254CCA">
        <w:rPr>
          <w:rFonts w:hint="eastAsia"/>
        </w:rPr>
        <w:t xml:space="preserve"> layer</w:t>
      </w:r>
      <w:r>
        <w:rPr>
          <w:rFonts w:hint="eastAsia"/>
        </w:rPr>
        <w:t>.</w:t>
      </w:r>
    </w:p>
    <w:p w14:paraId="2C6B211A" w14:textId="77777777" w:rsidR="00B01ADF" w:rsidRDefault="00B01ADF" w:rsidP="007E2FC8">
      <w:pPr>
        <w:rPr>
          <w:bCs/>
          <w:szCs w:val="22"/>
        </w:rPr>
      </w:pPr>
    </w:p>
    <w:p w14:paraId="50118E66" w14:textId="696886B1" w:rsidR="00514913" w:rsidRDefault="00514913" w:rsidP="007E2FC8">
      <w:pPr>
        <w:rPr>
          <w:bCs/>
          <w:szCs w:val="22"/>
        </w:rPr>
      </w:pPr>
      <w:r>
        <w:rPr>
          <w:rFonts w:hint="eastAsia"/>
          <w:bCs/>
          <w:szCs w:val="22"/>
        </w:rPr>
        <w:t>There are two options which node generates an AS ID.</w:t>
      </w:r>
    </w:p>
    <w:tbl>
      <w:tblPr>
        <w:tblStyle w:val="ab"/>
        <w:tblW w:w="0" w:type="auto"/>
        <w:tblLook w:val="04A0" w:firstRow="1" w:lastRow="0" w:firstColumn="1" w:lastColumn="0" w:noHBand="0" w:noVBand="1"/>
      </w:tblPr>
      <w:tblGrid>
        <w:gridCol w:w="9629"/>
      </w:tblGrid>
      <w:tr w:rsidR="00A6332C" w14:paraId="0F393B10" w14:textId="77777777" w:rsidTr="003942D5">
        <w:tc>
          <w:tcPr>
            <w:tcW w:w="9629" w:type="dxa"/>
          </w:tcPr>
          <w:p w14:paraId="3DB752F1" w14:textId="053B2EE8" w:rsidR="00A6332C" w:rsidRPr="00A6332C" w:rsidRDefault="00A6332C" w:rsidP="003942D5">
            <w:pPr>
              <w:pStyle w:val="Doc-text2"/>
              <w:ind w:left="363"/>
              <w:rPr>
                <w:lang w:eastAsia="ja-JP"/>
              </w:rPr>
            </w:pPr>
            <w:r>
              <w:rPr>
                <w:rFonts w:hint="eastAsia"/>
                <w:b/>
                <w:bCs/>
                <w:u w:val="single"/>
                <w:lang w:eastAsia="ja-JP"/>
              </w:rPr>
              <w:t>RAN2#127-bis</w:t>
            </w:r>
            <w:r>
              <w:rPr>
                <w:rFonts w:hint="eastAsia"/>
                <w:lang w:eastAsia="ja-JP"/>
              </w:rPr>
              <w:t xml:space="preserve"> </w:t>
            </w:r>
            <w:r w:rsidR="00F2773A">
              <w:rPr>
                <w:rFonts w:hint="eastAsia"/>
                <w:lang w:eastAsia="ja-JP"/>
              </w:rPr>
              <w:t>[2]</w:t>
            </w:r>
          </w:p>
          <w:p w14:paraId="3429351E" w14:textId="77777777" w:rsidR="00A6332C" w:rsidRDefault="00A6332C" w:rsidP="003942D5">
            <w:pPr>
              <w:pStyle w:val="Agreement"/>
              <w:ind w:left="360"/>
            </w:pPr>
            <w:r>
              <w:t>From RAN2 perspective, following options are possible for “AS ID”:</w:t>
            </w:r>
          </w:p>
          <w:p w14:paraId="2BE78489" w14:textId="77777777" w:rsidR="00A6332C" w:rsidRPr="00CD3F8C" w:rsidRDefault="00A6332C" w:rsidP="003942D5">
            <w:pPr>
              <w:pStyle w:val="Agreement"/>
              <w:numPr>
                <w:ilvl w:val="0"/>
                <w:numId w:val="0"/>
              </w:numPr>
              <w:ind w:left="181" w:firstLine="179"/>
            </w:pPr>
            <w:r>
              <w:t>O</w:t>
            </w:r>
            <w:r w:rsidRPr="00CD3F8C">
              <w:t xml:space="preserve">ption 1: a random ID </w:t>
            </w:r>
            <w:r>
              <w:t>if used in</w:t>
            </w:r>
            <w:r w:rsidRPr="00CD3F8C">
              <w:t xml:space="preserve"> Msg1 can be reused;</w:t>
            </w:r>
          </w:p>
          <w:p w14:paraId="4858BC36" w14:textId="0FD8133C" w:rsidR="00A6332C" w:rsidRDefault="00A6332C" w:rsidP="00514913">
            <w:pPr>
              <w:pStyle w:val="Agreement"/>
              <w:numPr>
                <w:ilvl w:val="0"/>
                <w:numId w:val="0"/>
              </w:numPr>
              <w:ind w:left="360"/>
              <w:rPr>
                <w:bCs/>
                <w:szCs w:val="22"/>
              </w:rPr>
            </w:pPr>
            <w:r w:rsidRPr="00CD3F8C">
              <w:t>Option 2: reader assigns this “AS ID”. FFS via which R2D message.</w:t>
            </w:r>
            <w:r>
              <w:t xml:space="preserve">   </w:t>
            </w:r>
          </w:p>
        </w:tc>
      </w:tr>
    </w:tbl>
    <w:p w14:paraId="3C5BC0DB" w14:textId="42B12B5D" w:rsidR="00A6332C" w:rsidRDefault="00514913" w:rsidP="007E2FC8">
      <w:pPr>
        <w:rPr>
          <w:bCs/>
          <w:szCs w:val="22"/>
        </w:rPr>
      </w:pPr>
      <w:r>
        <w:rPr>
          <w:rFonts w:hint="eastAsia"/>
          <w:bCs/>
          <w:szCs w:val="22"/>
        </w:rPr>
        <w:lastRenderedPageBreak/>
        <w:t xml:space="preserve">For Option 1, we doubt whether the random ID is long </w:t>
      </w:r>
      <w:r>
        <w:rPr>
          <w:bCs/>
          <w:szCs w:val="22"/>
        </w:rPr>
        <w:t>enough</w:t>
      </w:r>
      <w:r>
        <w:rPr>
          <w:rFonts w:hint="eastAsia"/>
          <w:bCs/>
          <w:szCs w:val="22"/>
        </w:rPr>
        <w:t xml:space="preserve"> not to often collide.</w:t>
      </w:r>
      <w:r w:rsidR="005A337F">
        <w:rPr>
          <w:rFonts w:hint="eastAsia"/>
          <w:bCs/>
          <w:szCs w:val="22"/>
        </w:rPr>
        <w:t xml:space="preserve"> We already agreed that the random ID is 16 bits. The length is agreed intending to let the random ID be unique </w:t>
      </w:r>
      <w:r w:rsidR="005A337F" w:rsidRPr="005A337F">
        <w:rPr>
          <w:rFonts w:hint="eastAsia"/>
          <w:bCs/>
          <w:i/>
          <w:iCs/>
          <w:szCs w:val="22"/>
        </w:rPr>
        <w:t xml:space="preserve">within devices </w:t>
      </w:r>
      <w:r w:rsidR="005A337F" w:rsidRPr="005A337F">
        <w:rPr>
          <w:bCs/>
          <w:i/>
          <w:iCs/>
          <w:szCs w:val="22"/>
        </w:rPr>
        <w:t>which</w:t>
      </w:r>
      <w:r w:rsidR="005A337F" w:rsidRPr="005A337F">
        <w:rPr>
          <w:rFonts w:hint="eastAsia"/>
          <w:bCs/>
          <w:i/>
          <w:iCs/>
          <w:szCs w:val="22"/>
        </w:rPr>
        <w:t xml:space="preserve"> collided on one access occasion for Msg1 in A-IoT random access</w:t>
      </w:r>
      <w:r w:rsidR="005A337F">
        <w:rPr>
          <w:rFonts w:hint="eastAsia"/>
          <w:bCs/>
          <w:szCs w:val="22"/>
        </w:rPr>
        <w:t xml:space="preserve">. However, the AS ID should be unique </w:t>
      </w:r>
      <w:r w:rsidR="005A337F" w:rsidRPr="005A337F">
        <w:rPr>
          <w:rFonts w:hint="eastAsia"/>
          <w:bCs/>
          <w:i/>
          <w:iCs/>
          <w:szCs w:val="22"/>
        </w:rPr>
        <w:t>within all devices that is in distance to communicate with an A-IoT reader</w:t>
      </w:r>
      <w:r w:rsidR="005A337F">
        <w:rPr>
          <w:rFonts w:hint="eastAsia"/>
          <w:bCs/>
          <w:szCs w:val="22"/>
        </w:rPr>
        <w:t>. Since we are studying indoor use cases, it would be possible that 100 to 1,000 of A-IoT devices are located in coverage of an A-IoT reader, where the random ID (16 bit =&gt; 65,536) is not long enough for AS ID.</w:t>
      </w:r>
    </w:p>
    <w:p w14:paraId="761E2EED" w14:textId="69CC1E59" w:rsidR="00F705B9" w:rsidRDefault="005F0CA1" w:rsidP="007E2FC8">
      <w:pPr>
        <w:rPr>
          <w:bCs/>
          <w:szCs w:val="22"/>
        </w:rPr>
      </w:pPr>
      <w:r>
        <w:rPr>
          <w:rFonts w:hint="eastAsia"/>
          <w:bCs/>
          <w:szCs w:val="22"/>
        </w:rPr>
        <w:t xml:space="preserve">On the other hand, Option 2 allows the reader to </w:t>
      </w:r>
      <w:r w:rsidR="00ED69D6">
        <w:rPr>
          <w:rFonts w:hint="eastAsia"/>
          <w:bCs/>
          <w:szCs w:val="22"/>
        </w:rPr>
        <w:t>assign</w:t>
      </w:r>
      <w:r>
        <w:rPr>
          <w:rFonts w:hint="eastAsia"/>
          <w:bCs/>
          <w:szCs w:val="22"/>
        </w:rPr>
        <w:t xml:space="preserve"> AS ID without collision because the reader can make sure that the AS ID is unique </w:t>
      </w:r>
      <w:r w:rsidR="00E61AD3" w:rsidRPr="005A337F">
        <w:rPr>
          <w:rFonts w:hint="eastAsia"/>
          <w:bCs/>
          <w:i/>
          <w:iCs/>
          <w:szCs w:val="22"/>
        </w:rPr>
        <w:t>within all devices that is in distance to communicate with an A-IoT reade</w:t>
      </w:r>
      <w:r w:rsidR="00E61AD3">
        <w:rPr>
          <w:rFonts w:hint="eastAsia"/>
          <w:bCs/>
          <w:i/>
          <w:iCs/>
          <w:szCs w:val="22"/>
        </w:rPr>
        <w:t>r</w:t>
      </w:r>
      <w:r w:rsidR="00E61AD3">
        <w:rPr>
          <w:rFonts w:hint="eastAsia"/>
          <w:bCs/>
          <w:szCs w:val="22"/>
        </w:rPr>
        <w:t>.</w:t>
      </w:r>
      <w:r w:rsidR="005C254D">
        <w:rPr>
          <w:rFonts w:hint="eastAsia"/>
          <w:bCs/>
          <w:szCs w:val="22"/>
        </w:rPr>
        <w:t xml:space="preserve"> </w:t>
      </w:r>
      <w:r w:rsidR="00ED69D6">
        <w:rPr>
          <w:rFonts w:hint="eastAsia"/>
          <w:bCs/>
          <w:szCs w:val="22"/>
        </w:rPr>
        <w:t>The reader should assign AS ID to the device via the first R2D message dedicated to the device</w:t>
      </w:r>
      <w:r w:rsidR="00E26795">
        <w:rPr>
          <w:rFonts w:hint="eastAsia"/>
          <w:bCs/>
          <w:szCs w:val="22"/>
        </w:rPr>
        <w:t xml:space="preserve"> as depicted in Figure 1</w:t>
      </w:r>
      <w:r w:rsidR="00ED69D6">
        <w:rPr>
          <w:rFonts w:hint="eastAsia"/>
          <w:bCs/>
          <w:szCs w:val="22"/>
        </w:rPr>
        <w:t>, i.e., Msg2 in 3-step CBRA, success indication in 2-step CBRA and CFRA.</w:t>
      </w:r>
    </w:p>
    <w:p w14:paraId="5230F70C" w14:textId="7F22C467" w:rsidR="00ED69D6" w:rsidRDefault="00ED69D6" w:rsidP="007E2FC8">
      <w:pPr>
        <w:rPr>
          <w:bCs/>
          <w:szCs w:val="22"/>
        </w:rPr>
      </w:pPr>
      <w:r>
        <w:rPr>
          <w:bCs/>
          <w:noProof/>
          <w:szCs w:val="22"/>
        </w:rPr>
        <w:drawing>
          <wp:inline distT="0" distB="0" distL="0" distR="0" wp14:anchorId="0A2EDE9E" wp14:editId="6546F6F2">
            <wp:extent cx="6028809" cy="1675153"/>
            <wp:effectExtent l="0" t="0" r="0" b="0"/>
            <wp:docPr id="137869648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55562" cy="1682586"/>
                    </a:xfrm>
                    <a:prstGeom prst="rect">
                      <a:avLst/>
                    </a:prstGeom>
                    <a:noFill/>
                    <a:ln>
                      <a:noFill/>
                    </a:ln>
                  </pic:spPr>
                </pic:pic>
              </a:graphicData>
            </a:graphic>
          </wp:inline>
        </w:drawing>
      </w:r>
    </w:p>
    <w:p w14:paraId="69602F55" w14:textId="31BA7CBE" w:rsidR="00E26795" w:rsidRPr="00E26795" w:rsidRDefault="00E26795" w:rsidP="00E26795">
      <w:pPr>
        <w:jc w:val="center"/>
        <w:rPr>
          <w:b/>
          <w:szCs w:val="22"/>
        </w:rPr>
      </w:pPr>
      <w:r w:rsidRPr="00E26795">
        <w:rPr>
          <w:rFonts w:hint="eastAsia"/>
          <w:b/>
          <w:szCs w:val="22"/>
        </w:rPr>
        <w:t>Figure 1. First R2D messages dedicated to a device.</w:t>
      </w:r>
    </w:p>
    <w:p w14:paraId="05F2D96B" w14:textId="651F813B" w:rsidR="00F705B9" w:rsidRDefault="00F705B9" w:rsidP="00F705B9">
      <w:pPr>
        <w:pStyle w:val="ObservationandProposal"/>
      </w:pPr>
      <w:r>
        <w:rPr>
          <w:rFonts w:hint="eastAsia"/>
        </w:rPr>
        <w:t xml:space="preserve">Proposal </w:t>
      </w:r>
      <w:r w:rsidR="00275298">
        <w:rPr>
          <w:rFonts w:hint="eastAsia"/>
        </w:rPr>
        <w:t>2</w:t>
      </w:r>
      <w:r>
        <w:rPr>
          <w:rFonts w:hint="eastAsia"/>
        </w:rPr>
        <w:t>.</w:t>
      </w:r>
      <w:r>
        <w:tab/>
        <w:t>“</w:t>
      </w:r>
      <w:r>
        <w:rPr>
          <w:rFonts w:hint="eastAsia"/>
        </w:rPr>
        <w:t>AS ID</w:t>
      </w:r>
      <w:r>
        <w:t>”</w:t>
      </w:r>
      <w:r>
        <w:rPr>
          <w:rFonts w:hint="eastAsia"/>
        </w:rPr>
        <w:t xml:space="preserve"> is generated by A-IoT reader and allocated to each A-IoT device via Msg2 in 3-step CBRA, </w:t>
      </w:r>
      <w:r w:rsidR="00ED69D6">
        <w:rPr>
          <w:rFonts w:hint="eastAsia"/>
        </w:rPr>
        <w:t xml:space="preserve">success indication in </w:t>
      </w:r>
      <w:r>
        <w:rPr>
          <w:rFonts w:hint="eastAsia"/>
        </w:rPr>
        <w:t>2-step CBRA and CFRA.</w:t>
      </w:r>
    </w:p>
    <w:p w14:paraId="13FAE487" w14:textId="77777777" w:rsidR="00F705B9" w:rsidRPr="0083168F" w:rsidRDefault="00F705B9" w:rsidP="007E2FC8">
      <w:pPr>
        <w:rPr>
          <w:bCs/>
          <w:szCs w:val="22"/>
        </w:rPr>
      </w:pPr>
    </w:p>
    <w:p w14:paraId="622B372B" w14:textId="74976756" w:rsidR="007E2FC8" w:rsidRDefault="00B01ADF" w:rsidP="007E2FC8">
      <w:pPr>
        <w:pStyle w:val="2"/>
        <w:numPr>
          <w:ilvl w:val="1"/>
          <w:numId w:val="2"/>
        </w:numPr>
        <w:rPr>
          <w:rFonts w:cs="Arial"/>
        </w:rPr>
      </w:pPr>
      <w:r>
        <w:rPr>
          <w:rFonts w:cs="Arial" w:hint="eastAsia"/>
        </w:rPr>
        <w:t>Energy status report</w:t>
      </w:r>
    </w:p>
    <w:p w14:paraId="3C96AEC2" w14:textId="2B4B4733" w:rsidR="0083168F" w:rsidRDefault="005F0423" w:rsidP="007E2FC8">
      <w:pPr>
        <w:rPr>
          <w:szCs w:val="22"/>
        </w:rPr>
      </w:pPr>
      <w:r>
        <w:rPr>
          <w:rFonts w:hint="eastAsia"/>
          <w:szCs w:val="22"/>
        </w:rPr>
        <w:t>RAN2 has agreed to capture the energy status reporting in TR. Energy status reporting is indicated when the device is aware of its low-battery status, and it cannot continue the following procedure after the next D2R message.</w:t>
      </w:r>
    </w:p>
    <w:tbl>
      <w:tblPr>
        <w:tblStyle w:val="ab"/>
        <w:tblW w:w="0" w:type="auto"/>
        <w:tblLook w:val="04A0" w:firstRow="1" w:lastRow="0" w:firstColumn="1" w:lastColumn="0" w:noHBand="0" w:noVBand="1"/>
      </w:tblPr>
      <w:tblGrid>
        <w:gridCol w:w="9629"/>
      </w:tblGrid>
      <w:tr w:rsidR="005F0423" w14:paraId="05A568E1" w14:textId="77777777" w:rsidTr="005F0423">
        <w:tc>
          <w:tcPr>
            <w:tcW w:w="9629" w:type="dxa"/>
          </w:tcPr>
          <w:p w14:paraId="51339F34" w14:textId="237134D1" w:rsidR="005F0423" w:rsidRDefault="005F0423" w:rsidP="007E2FC8">
            <w:pPr>
              <w:rPr>
                <w:szCs w:val="22"/>
              </w:rPr>
            </w:pPr>
            <w:r>
              <w:rPr>
                <w:rFonts w:hint="eastAsia"/>
                <w:b/>
                <w:bCs/>
                <w:szCs w:val="22"/>
                <w:u w:val="single"/>
              </w:rPr>
              <w:t>RAN2#127-bis</w:t>
            </w:r>
            <w:r>
              <w:rPr>
                <w:rFonts w:hint="eastAsia"/>
                <w:szCs w:val="22"/>
              </w:rPr>
              <w:t xml:space="preserve"> </w:t>
            </w:r>
            <w:r w:rsidR="00F2773A">
              <w:rPr>
                <w:rFonts w:hint="eastAsia"/>
                <w:szCs w:val="22"/>
              </w:rPr>
              <w:t>[2]</w:t>
            </w:r>
          </w:p>
          <w:p w14:paraId="5ABFA839" w14:textId="4F3C5C2E" w:rsidR="005F0423" w:rsidRPr="005F0423" w:rsidRDefault="005F0423" w:rsidP="005F0423">
            <w:pPr>
              <w:pStyle w:val="Agreement"/>
              <w:tabs>
                <w:tab w:val="clear" w:pos="1619"/>
                <w:tab w:val="num" w:pos="1303"/>
              </w:tabs>
              <w:ind w:left="452"/>
              <w:rPr>
                <w:szCs w:val="22"/>
              </w:rPr>
            </w:pPr>
            <w:r w:rsidRPr="000A5C00">
              <w:t xml:space="preserve">Capture in the TR the option: the </w:t>
            </w:r>
            <w:r>
              <w:t>device</w:t>
            </w:r>
            <w:r w:rsidRPr="000A5C00">
              <w:t xml:space="preserve"> </w:t>
            </w:r>
            <w:r>
              <w:t>may</w:t>
            </w:r>
            <w:r w:rsidRPr="000A5C00">
              <w:t xml:space="preserve"> include energy status indication</w:t>
            </w:r>
            <w:r>
              <w:t xml:space="preserve"> </w:t>
            </w:r>
            <w:r w:rsidRPr="000A5C00">
              <w:t>in D2R messages (e.g. MSG1,MSG3 and Command Response message)</w:t>
            </w:r>
            <w:r>
              <w:t>, if the device can</w:t>
            </w:r>
            <w:r w:rsidRPr="000A5C00">
              <w:t>.</w:t>
            </w:r>
            <w:r>
              <w:t xml:space="preserve">  1 bit indication can be captured in the TR.    We will capture the use case in the TR.   FFS whether it is reader controlled.  </w:t>
            </w:r>
          </w:p>
        </w:tc>
      </w:tr>
    </w:tbl>
    <w:p w14:paraId="697E188B" w14:textId="77777777" w:rsidR="005F0423" w:rsidRDefault="005F0423" w:rsidP="007E2FC8">
      <w:pPr>
        <w:rPr>
          <w:szCs w:val="22"/>
        </w:rPr>
      </w:pPr>
    </w:p>
    <w:p w14:paraId="595A8F99" w14:textId="77C0AC8C" w:rsidR="005F0423" w:rsidRDefault="005F0423" w:rsidP="007E2FC8">
      <w:pPr>
        <w:rPr>
          <w:szCs w:val="22"/>
        </w:rPr>
      </w:pPr>
      <w:r>
        <w:rPr>
          <w:rFonts w:hint="eastAsia"/>
          <w:szCs w:val="22"/>
        </w:rPr>
        <w:t xml:space="preserve">Energy status reporting feature helps the reader to be aware of a termination of the procedure without detecting D2R message failure. On the other hand, </w:t>
      </w:r>
      <w:r w:rsidR="003B2BE6">
        <w:rPr>
          <w:rFonts w:hint="eastAsia"/>
          <w:szCs w:val="22"/>
        </w:rPr>
        <w:t xml:space="preserve">implementing </w:t>
      </w:r>
      <w:r>
        <w:rPr>
          <w:rFonts w:hint="eastAsia"/>
          <w:szCs w:val="22"/>
        </w:rPr>
        <w:t xml:space="preserve">this feature </w:t>
      </w:r>
      <w:r w:rsidR="00B735D6">
        <w:rPr>
          <w:rFonts w:hint="eastAsia"/>
          <w:szCs w:val="22"/>
        </w:rPr>
        <w:t xml:space="preserve">impels some </w:t>
      </w:r>
      <w:r w:rsidR="003B2BE6">
        <w:rPr>
          <w:rFonts w:hint="eastAsia"/>
          <w:szCs w:val="22"/>
        </w:rPr>
        <w:t>require</w:t>
      </w:r>
      <w:r w:rsidR="00B735D6">
        <w:rPr>
          <w:rFonts w:hint="eastAsia"/>
          <w:szCs w:val="22"/>
        </w:rPr>
        <w:t>ment</w:t>
      </w:r>
      <w:r w:rsidR="003B2BE6">
        <w:rPr>
          <w:rFonts w:hint="eastAsia"/>
          <w:szCs w:val="22"/>
        </w:rPr>
        <w:t xml:space="preserve">s </w:t>
      </w:r>
      <w:r w:rsidR="00B735D6">
        <w:rPr>
          <w:rFonts w:hint="eastAsia"/>
          <w:szCs w:val="22"/>
        </w:rPr>
        <w:t xml:space="preserve">to </w:t>
      </w:r>
      <w:r w:rsidR="003B2BE6">
        <w:rPr>
          <w:rFonts w:hint="eastAsia"/>
          <w:szCs w:val="22"/>
        </w:rPr>
        <w:t>the device, e.g.,</w:t>
      </w:r>
    </w:p>
    <w:p w14:paraId="57125DA7" w14:textId="1A7EBD44" w:rsidR="003B2BE6" w:rsidRDefault="003B2BE6" w:rsidP="003B2BE6">
      <w:pPr>
        <w:pStyle w:val="aa"/>
        <w:numPr>
          <w:ilvl w:val="0"/>
          <w:numId w:val="4"/>
        </w:numPr>
        <w:ind w:leftChars="0"/>
        <w:rPr>
          <w:szCs w:val="22"/>
        </w:rPr>
      </w:pPr>
      <w:r>
        <w:rPr>
          <w:rFonts w:hint="eastAsia"/>
          <w:szCs w:val="22"/>
        </w:rPr>
        <w:t>The device can monitor the level of its own battery level.</w:t>
      </w:r>
    </w:p>
    <w:p w14:paraId="39ACB65E" w14:textId="20EDFD8B" w:rsidR="003B2BE6" w:rsidRDefault="003B2BE6" w:rsidP="003B2BE6">
      <w:pPr>
        <w:pStyle w:val="aa"/>
        <w:numPr>
          <w:ilvl w:val="0"/>
          <w:numId w:val="4"/>
        </w:numPr>
        <w:ind w:leftChars="0"/>
        <w:rPr>
          <w:szCs w:val="22"/>
        </w:rPr>
      </w:pPr>
      <w:r>
        <w:rPr>
          <w:rFonts w:hint="eastAsia"/>
          <w:szCs w:val="22"/>
        </w:rPr>
        <w:t>The device can recognize how much power is consumed to transmit a D2R message.</w:t>
      </w:r>
    </w:p>
    <w:p w14:paraId="442E19B0" w14:textId="637E3FD1" w:rsidR="003B2BE6" w:rsidRDefault="003B2BE6" w:rsidP="003B2BE6">
      <w:pPr>
        <w:pStyle w:val="aa"/>
        <w:numPr>
          <w:ilvl w:val="0"/>
          <w:numId w:val="4"/>
        </w:numPr>
        <w:ind w:leftChars="0"/>
        <w:rPr>
          <w:szCs w:val="22"/>
        </w:rPr>
      </w:pPr>
      <w:r>
        <w:rPr>
          <w:rFonts w:hint="eastAsia"/>
          <w:szCs w:val="22"/>
        </w:rPr>
        <w:t xml:space="preserve">The device can determine whether to trigger energy status </w:t>
      </w:r>
      <w:r>
        <w:rPr>
          <w:szCs w:val="22"/>
        </w:rPr>
        <w:t>report</w:t>
      </w:r>
      <w:r>
        <w:rPr>
          <w:rFonts w:hint="eastAsia"/>
          <w:szCs w:val="22"/>
        </w:rPr>
        <w:t xml:space="preserve"> based on its knowledge on above two.</w:t>
      </w:r>
    </w:p>
    <w:p w14:paraId="32BFA3B6" w14:textId="794CCE51" w:rsidR="003B2BE6" w:rsidRPr="003B2BE6" w:rsidRDefault="003B2BE6" w:rsidP="003B2BE6">
      <w:pPr>
        <w:rPr>
          <w:szCs w:val="22"/>
        </w:rPr>
      </w:pPr>
      <w:r>
        <w:rPr>
          <w:rFonts w:hint="eastAsia"/>
          <w:szCs w:val="22"/>
        </w:rPr>
        <w:t>However, some A-IoT devices (especially device type 1) are expected to be simple designs, thus</w:t>
      </w:r>
      <w:r w:rsidRPr="003B2BE6">
        <w:t xml:space="preserve"> </w:t>
      </w:r>
      <w:r w:rsidRPr="003B2BE6">
        <w:rPr>
          <w:szCs w:val="22"/>
        </w:rPr>
        <w:t xml:space="preserve">incorporating </w:t>
      </w:r>
      <w:r>
        <w:rPr>
          <w:rFonts w:hint="eastAsia"/>
          <w:szCs w:val="22"/>
        </w:rPr>
        <w:t>the</w:t>
      </w:r>
      <w:r w:rsidRPr="003B2BE6">
        <w:rPr>
          <w:szCs w:val="22"/>
        </w:rPr>
        <w:t xml:space="preserve"> energy status report </w:t>
      </w:r>
      <w:r>
        <w:rPr>
          <w:rFonts w:hint="eastAsia"/>
          <w:szCs w:val="22"/>
        </w:rPr>
        <w:t>feature</w:t>
      </w:r>
      <w:r w:rsidRPr="003B2BE6">
        <w:rPr>
          <w:szCs w:val="22"/>
        </w:rPr>
        <w:t xml:space="preserve"> in such devices may impose implementation restrictions and increase manufacturing costs.</w:t>
      </w:r>
      <w:r>
        <w:rPr>
          <w:rFonts w:hint="eastAsia"/>
          <w:szCs w:val="22"/>
        </w:rPr>
        <w:t xml:space="preserve"> </w:t>
      </w:r>
      <w:r w:rsidRPr="003B2BE6">
        <w:rPr>
          <w:szCs w:val="22"/>
        </w:rPr>
        <w:t>Therefore, the energy status report should be an optional feature</w:t>
      </w:r>
      <w:r w:rsidR="00AE7722">
        <w:rPr>
          <w:rFonts w:hint="eastAsia"/>
          <w:szCs w:val="22"/>
        </w:rPr>
        <w:t>. It should be an FFS</w:t>
      </w:r>
      <w:r w:rsidRPr="003B2BE6">
        <w:rPr>
          <w:szCs w:val="22"/>
        </w:rPr>
        <w:t xml:space="preserve"> </w:t>
      </w:r>
      <w:r w:rsidR="00AE7722">
        <w:rPr>
          <w:rFonts w:hint="eastAsia"/>
          <w:szCs w:val="22"/>
        </w:rPr>
        <w:t xml:space="preserve">in normative phase </w:t>
      </w:r>
      <w:r w:rsidRPr="003B2BE6">
        <w:rPr>
          <w:szCs w:val="22"/>
        </w:rPr>
        <w:t xml:space="preserve">whether </w:t>
      </w:r>
      <w:r w:rsidR="00AE7722">
        <w:rPr>
          <w:rFonts w:hint="eastAsia"/>
          <w:szCs w:val="22"/>
        </w:rPr>
        <w:t xml:space="preserve">to introduce device capability signalling </w:t>
      </w:r>
      <w:r w:rsidRPr="003B2BE6">
        <w:rPr>
          <w:szCs w:val="22"/>
        </w:rPr>
        <w:t xml:space="preserve">to report </w:t>
      </w:r>
      <w:r w:rsidR="00AE7722">
        <w:rPr>
          <w:rFonts w:hint="eastAsia"/>
          <w:szCs w:val="22"/>
        </w:rPr>
        <w:t>supporting energy status reporting.</w:t>
      </w:r>
    </w:p>
    <w:p w14:paraId="6606437C" w14:textId="1584D393" w:rsidR="005F0423" w:rsidRDefault="005F0423" w:rsidP="005F0423">
      <w:pPr>
        <w:pStyle w:val="ObservationandProposal"/>
      </w:pPr>
      <w:r>
        <w:rPr>
          <w:rFonts w:hint="eastAsia"/>
        </w:rPr>
        <w:lastRenderedPageBreak/>
        <w:t xml:space="preserve">Proposal </w:t>
      </w:r>
      <w:r w:rsidR="00275298">
        <w:rPr>
          <w:rFonts w:hint="eastAsia"/>
        </w:rPr>
        <w:t>3</w:t>
      </w:r>
      <w:r>
        <w:rPr>
          <w:rFonts w:hint="eastAsia"/>
        </w:rPr>
        <w:t>.</w:t>
      </w:r>
      <w:r>
        <w:tab/>
      </w:r>
      <w:r>
        <w:rPr>
          <w:rFonts w:hint="eastAsia"/>
        </w:rPr>
        <w:t>A-IoT device</w:t>
      </w:r>
      <w:r w:rsidR="003B2BE6">
        <w:rPr>
          <w:rFonts w:hint="eastAsia"/>
        </w:rPr>
        <w:t xml:space="preserve"> optionally</w:t>
      </w:r>
      <w:r>
        <w:rPr>
          <w:rFonts w:hint="eastAsia"/>
        </w:rPr>
        <w:t xml:space="preserve"> support</w:t>
      </w:r>
      <w:r w:rsidR="003B2BE6">
        <w:rPr>
          <w:rFonts w:hint="eastAsia"/>
        </w:rPr>
        <w:t>s</w:t>
      </w:r>
      <w:r>
        <w:rPr>
          <w:rFonts w:hint="eastAsia"/>
        </w:rPr>
        <w:t xml:space="preserve"> energy status reporting. FFS </w:t>
      </w:r>
      <w:r>
        <w:t>whether</w:t>
      </w:r>
      <w:r>
        <w:rPr>
          <w:rFonts w:hint="eastAsia"/>
        </w:rPr>
        <w:t xml:space="preserve"> device capability is needed.</w:t>
      </w:r>
    </w:p>
    <w:p w14:paraId="5918542B" w14:textId="77777777" w:rsidR="005F0423" w:rsidRDefault="005F0423" w:rsidP="007E2FC8">
      <w:pPr>
        <w:rPr>
          <w:szCs w:val="22"/>
        </w:rPr>
      </w:pPr>
    </w:p>
    <w:p w14:paraId="7A2103CC" w14:textId="526FC031" w:rsidR="005A19D7" w:rsidRDefault="00AE7722" w:rsidP="00AE7722">
      <w:pPr>
        <w:rPr>
          <w:szCs w:val="22"/>
        </w:rPr>
      </w:pPr>
      <w:r>
        <w:rPr>
          <w:rFonts w:hint="eastAsia"/>
          <w:szCs w:val="22"/>
        </w:rPr>
        <w:t xml:space="preserve">As mentioned above, not all devices should support energy status reporting. Moreover, the device may fall into </w:t>
      </w:r>
      <w:r>
        <w:rPr>
          <w:szCs w:val="22"/>
        </w:rPr>
        <w:t>low battery</w:t>
      </w:r>
      <w:r>
        <w:rPr>
          <w:rFonts w:hint="eastAsia"/>
          <w:szCs w:val="22"/>
        </w:rPr>
        <w:t xml:space="preserve"> without triggering energy status report (e.g. due to</w:t>
      </w:r>
      <w:r w:rsidR="00B735D6">
        <w:rPr>
          <w:rFonts w:hint="eastAsia"/>
          <w:szCs w:val="22"/>
        </w:rPr>
        <w:t xml:space="preserve"> mis-expectation of its own battery level because of</w:t>
      </w:r>
      <w:r>
        <w:rPr>
          <w:rFonts w:hint="eastAsia"/>
          <w:szCs w:val="22"/>
        </w:rPr>
        <w:t xml:space="preserve"> deterioration of battery components over time).</w:t>
      </w:r>
    </w:p>
    <w:p w14:paraId="22CB06D7" w14:textId="7C98CAC0" w:rsidR="009B64EF" w:rsidRDefault="00AE7722" w:rsidP="00AE7722">
      <w:pPr>
        <w:rPr>
          <w:szCs w:val="22"/>
        </w:rPr>
      </w:pPr>
      <w:r w:rsidRPr="00AE7722">
        <w:rPr>
          <w:szCs w:val="22"/>
        </w:rPr>
        <w:t xml:space="preserve">Therefore, a procedure that works without </w:t>
      </w:r>
      <w:r>
        <w:rPr>
          <w:rFonts w:hint="eastAsia"/>
          <w:szCs w:val="22"/>
        </w:rPr>
        <w:t>energy status reporting</w:t>
      </w:r>
      <w:r w:rsidRPr="00AE7722">
        <w:rPr>
          <w:szCs w:val="22"/>
        </w:rPr>
        <w:t xml:space="preserve"> (e.g., declaring failure if a D2R message is not received) </w:t>
      </w:r>
      <w:r>
        <w:rPr>
          <w:rFonts w:hint="eastAsia"/>
          <w:szCs w:val="22"/>
        </w:rPr>
        <w:t>has to</w:t>
      </w:r>
      <w:r w:rsidRPr="00AE7722">
        <w:rPr>
          <w:szCs w:val="22"/>
        </w:rPr>
        <w:t xml:space="preserve"> be supported by the </w:t>
      </w:r>
      <w:r w:rsidR="009B64EF">
        <w:rPr>
          <w:rFonts w:hint="eastAsia"/>
          <w:szCs w:val="22"/>
        </w:rPr>
        <w:t>network</w:t>
      </w:r>
      <w:r>
        <w:rPr>
          <w:rFonts w:hint="eastAsia"/>
          <w:szCs w:val="22"/>
        </w:rPr>
        <w:t xml:space="preserve"> </w:t>
      </w:r>
      <w:r w:rsidR="005A19D7">
        <w:rPr>
          <w:rFonts w:hint="eastAsia"/>
          <w:szCs w:val="22"/>
        </w:rPr>
        <w:t>anyway</w:t>
      </w:r>
      <w:r w:rsidRPr="00AE7722">
        <w:rPr>
          <w:szCs w:val="22"/>
        </w:rPr>
        <w:t>.</w:t>
      </w:r>
      <w:r w:rsidR="005A19D7">
        <w:rPr>
          <w:rFonts w:hint="eastAsia"/>
          <w:szCs w:val="22"/>
        </w:rPr>
        <w:t xml:space="preserve"> In other words, from network perspective, terminating ongoing procedure </w:t>
      </w:r>
      <w:r w:rsidR="00B735D6">
        <w:rPr>
          <w:rFonts w:hint="eastAsia"/>
          <w:szCs w:val="22"/>
        </w:rPr>
        <w:t>upon detecting</w:t>
      </w:r>
      <w:r w:rsidR="005A19D7">
        <w:rPr>
          <w:rFonts w:hint="eastAsia"/>
          <w:szCs w:val="22"/>
        </w:rPr>
        <w:t xml:space="preserve"> energy status reporting is an optimized feature for such devices capable of the reporting.</w:t>
      </w:r>
    </w:p>
    <w:p w14:paraId="73670AC1" w14:textId="31B9E2F9" w:rsidR="00AE7722" w:rsidRPr="00AE7722" w:rsidRDefault="009B64EF" w:rsidP="00AE7722">
      <w:pPr>
        <w:rPr>
          <w:szCs w:val="22"/>
        </w:rPr>
      </w:pPr>
      <w:r>
        <w:rPr>
          <w:rFonts w:hint="eastAsia"/>
          <w:szCs w:val="22"/>
        </w:rPr>
        <w:t>F</w:t>
      </w:r>
      <w:r w:rsidR="005A19D7">
        <w:rPr>
          <w:rFonts w:hint="eastAsia"/>
          <w:szCs w:val="22"/>
        </w:rPr>
        <w:t>rom cost point of view, a</w:t>
      </w:r>
      <w:r w:rsidR="00AE7722" w:rsidRPr="00AE7722">
        <w:rPr>
          <w:szCs w:val="22"/>
        </w:rPr>
        <w:t xml:space="preserve"> </w:t>
      </w:r>
      <w:r w:rsidR="005A19D7">
        <w:rPr>
          <w:rFonts w:hint="eastAsia"/>
          <w:szCs w:val="22"/>
        </w:rPr>
        <w:t xml:space="preserve">network implementation or </w:t>
      </w:r>
      <w:r w:rsidR="00AE7722" w:rsidRPr="00AE7722">
        <w:rPr>
          <w:szCs w:val="22"/>
        </w:rPr>
        <w:t>OAM</w:t>
      </w:r>
      <w:r w:rsidR="005A19D7">
        <w:rPr>
          <w:rFonts w:hint="eastAsia"/>
          <w:szCs w:val="22"/>
        </w:rPr>
        <w:t xml:space="preserve"> not supporting the alternated procedure based on energy status reporting</w:t>
      </w:r>
      <w:r w:rsidR="00AE7722" w:rsidRPr="00AE7722">
        <w:rPr>
          <w:szCs w:val="22"/>
        </w:rPr>
        <w:t xml:space="preserve"> should be allowed, and</w:t>
      </w:r>
      <w:r w:rsidR="005A19D7">
        <w:rPr>
          <w:rFonts w:hint="eastAsia"/>
          <w:szCs w:val="22"/>
        </w:rPr>
        <w:t xml:space="preserve"> then</w:t>
      </w:r>
      <w:r w:rsidR="00AE7722" w:rsidRPr="00AE7722">
        <w:rPr>
          <w:szCs w:val="22"/>
        </w:rPr>
        <w:t xml:space="preserve"> it would be </w:t>
      </w:r>
      <w:r w:rsidR="00B735D6">
        <w:rPr>
          <w:rFonts w:hint="eastAsia"/>
          <w:szCs w:val="22"/>
        </w:rPr>
        <w:t>efficient</w:t>
      </w:r>
      <w:r w:rsidR="00AE7722" w:rsidRPr="00AE7722">
        <w:rPr>
          <w:szCs w:val="22"/>
        </w:rPr>
        <w:t xml:space="preserve"> to prevent the </w:t>
      </w:r>
      <w:r>
        <w:rPr>
          <w:rFonts w:hint="eastAsia"/>
          <w:szCs w:val="22"/>
        </w:rPr>
        <w:t>device</w:t>
      </w:r>
      <w:r w:rsidR="00AE7722" w:rsidRPr="00AE7722">
        <w:rPr>
          <w:szCs w:val="22"/>
        </w:rPr>
        <w:t xml:space="preserve"> from </w:t>
      </w:r>
      <w:r>
        <w:rPr>
          <w:rFonts w:hint="eastAsia"/>
          <w:szCs w:val="22"/>
        </w:rPr>
        <w:t>monitoring its battery to transmit energy status report</w:t>
      </w:r>
      <w:r w:rsidR="00AE7722" w:rsidRPr="00AE7722">
        <w:rPr>
          <w:szCs w:val="22"/>
        </w:rPr>
        <w:t xml:space="preserve"> to the </w:t>
      </w:r>
      <w:r>
        <w:rPr>
          <w:rFonts w:hint="eastAsia"/>
          <w:szCs w:val="22"/>
        </w:rPr>
        <w:t>reader</w:t>
      </w:r>
      <w:r w:rsidR="00AE7722" w:rsidRPr="00AE7722">
        <w:rPr>
          <w:szCs w:val="22"/>
        </w:rPr>
        <w:t xml:space="preserve">, since </w:t>
      </w:r>
      <w:r>
        <w:rPr>
          <w:rFonts w:hint="eastAsia"/>
          <w:szCs w:val="22"/>
        </w:rPr>
        <w:t>the report does not help</w:t>
      </w:r>
      <w:r w:rsidR="00AE7722" w:rsidRPr="00AE7722">
        <w:rPr>
          <w:szCs w:val="22"/>
        </w:rPr>
        <w:t xml:space="preserve"> such </w:t>
      </w:r>
      <w:r>
        <w:rPr>
          <w:rFonts w:hint="eastAsia"/>
          <w:szCs w:val="22"/>
        </w:rPr>
        <w:t>network</w:t>
      </w:r>
      <w:r w:rsidR="00B735D6">
        <w:rPr>
          <w:rFonts w:hint="eastAsia"/>
          <w:szCs w:val="22"/>
        </w:rPr>
        <w:t xml:space="preserve"> anymore</w:t>
      </w:r>
      <w:r w:rsidR="00AE7722" w:rsidRPr="00AE7722">
        <w:rPr>
          <w:szCs w:val="22"/>
        </w:rPr>
        <w:t xml:space="preserve">. </w:t>
      </w:r>
      <w:r w:rsidR="005A19D7">
        <w:rPr>
          <w:rFonts w:hint="eastAsia"/>
          <w:szCs w:val="22"/>
        </w:rPr>
        <w:t xml:space="preserve">That is why we think </w:t>
      </w:r>
      <w:r w:rsidR="00AE7722" w:rsidRPr="00AE7722">
        <w:rPr>
          <w:szCs w:val="22"/>
        </w:rPr>
        <w:t xml:space="preserve">it is beneficial to </w:t>
      </w:r>
      <w:r w:rsidR="005A19D7">
        <w:rPr>
          <w:rFonts w:hint="eastAsia"/>
          <w:szCs w:val="22"/>
        </w:rPr>
        <w:t xml:space="preserve">introduce an </w:t>
      </w:r>
      <w:r w:rsidR="00566E27">
        <w:rPr>
          <w:rFonts w:hint="eastAsia"/>
          <w:szCs w:val="22"/>
        </w:rPr>
        <w:t xml:space="preserve">R2D </w:t>
      </w:r>
      <w:r w:rsidR="005A19D7">
        <w:rPr>
          <w:rFonts w:hint="eastAsia"/>
          <w:szCs w:val="22"/>
        </w:rPr>
        <w:t xml:space="preserve">indication </w:t>
      </w:r>
      <w:r w:rsidR="00566E27">
        <w:rPr>
          <w:rFonts w:hint="eastAsia"/>
          <w:szCs w:val="22"/>
        </w:rPr>
        <w:t>to prevent energy status reporting</w:t>
      </w:r>
      <w:r w:rsidR="00AE7722" w:rsidRPr="00AE7722">
        <w:rPr>
          <w:szCs w:val="22"/>
        </w:rPr>
        <w:t>.</w:t>
      </w:r>
    </w:p>
    <w:p w14:paraId="75044CDD" w14:textId="7F95B0A0" w:rsidR="005F0423" w:rsidRDefault="005F0423" w:rsidP="005F0423">
      <w:pPr>
        <w:pStyle w:val="ObservationandProposal"/>
      </w:pPr>
      <w:r>
        <w:rPr>
          <w:rFonts w:hint="eastAsia"/>
        </w:rPr>
        <w:t xml:space="preserve">Proposal </w:t>
      </w:r>
      <w:r w:rsidR="00275298">
        <w:rPr>
          <w:rFonts w:hint="eastAsia"/>
        </w:rPr>
        <w:t>4</w:t>
      </w:r>
      <w:r>
        <w:rPr>
          <w:rFonts w:hint="eastAsia"/>
        </w:rPr>
        <w:t>.</w:t>
      </w:r>
      <w:r>
        <w:tab/>
      </w:r>
      <w:r>
        <w:rPr>
          <w:rFonts w:hint="eastAsia"/>
        </w:rPr>
        <w:t>A-IoT reader can indicate for A-IoT devices not to trigger energy status reporting</w:t>
      </w:r>
      <w:r w:rsidRPr="000E0A97">
        <w:rPr>
          <w:rFonts w:hint="eastAsia"/>
        </w:rPr>
        <w:t xml:space="preserve"> </w:t>
      </w:r>
      <w:r>
        <w:rPr>
          <w:rFonts w:hint="eastAsia"/>
        </w:rPr>
        <w:t>via A-IoT paging.</w:t>
      </w:r>
    </w:p>
    <w:p w14:paraId="4070ECAC" w14:textId="77777777" w:rsidR="000E0A97" w:rsidRPr="00262F8E" w:rsidRDefault="000E0A97"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65F833A5" w14:textId="77777777" w:rsidR="00275298" w:rsidRDefault="00275298" w:rsidP="00275298">
      <w:pPr>
        <w:pStyle w:val="ObservationandProposal"/>
      </w:pPr>
      <w:r>
        <w:rPr>
          <w:rFonts w:hint="eastAsia"/>
        </w:rPr>
        <w:t>Proposal 1.</w:t>
      </w:r>
      <w:r>
        <w:tab/>
        <w:t>“</w:t>
      </w:r>
      <w:r>
        <w:rPr>
          <w:rFonts w:hint="eastAsia"/>
        </w:rPr>
        <w:t>AS ID</w:t>
      </w:r>
      <w:r>
        <w:t>”</w:t>
      </w:r>
      <w:r>
        <w:rPr>
          <w:rFonts w:hint="eastAsia"/>
        </w:rPr>
        <w:t xml:space="preserve"> is a temporary ID which is generated in AS layer.</w:t>
      </w:r>
    </w:p>
    <w:p w14:paraId="697FF5EB" w14:textId="77777777" w:rsidR="00275298" w:rsidRDefault="00275298" w:rsidP="00275298">
      <w:pPr>
        <w:pStyle w:val="ObservationandProposal"/>
      </w:pPr>
      <w:r>
        <w:rPr>
          <w:rFonts w:hint="eastAsia"/>
        </w:rPr>
        <w:t>Proposal 2.</w:t>
      </w:r>
      <w:r>
        <w:tab/>
        <w:t>“</w:t>
      </w:r>
      <w:r>
        <w:rPr>
          <w:rFonts w:hint="eastAsia"/>
        </w:rPr>
        <w:t>AS ID</w:t>
      </w:r>
      <w:r>
        <w:t>”</w:t>
      </w:r>
      <w:r>
        <w:rPr>
          <w:rFonts w:hint="eastAsia"/>
        </w:rPr>
        <w:t xml:space="preserve"> is generated by A-IoT reader and allocated to each A-IoT device via Msg2 in 3-step CBRA, success indication in 2-step CBRA and CFRA.</w:t>
      </w:r>
    </w:p>
    <w:p w14:paraId="36E7ED99" w14:textId="77777777" w:rsidR="00275298" w:rsidRDefault="00275298" w:rsidP="00275298">
      <w:pPr>
        <w:pStyle w:val="ObservationandProposal"/>
      </w:pPr>
      <w:r>
        <w:rPr>
          <w:rFonts w:hint="eastAsia"/>
        </w:rPr>
        <w:t>Proposal 3.</w:t>
      </w:r>
      <w:r>
        <w:tab/>
      </w:r>
      <w:r>
        <w:rPr>
          <w:rFonts w:hint="eastAsia"/>
        </w:rPr>
        <w:t xml:space="preserve">A-IoT device optionally supports energy status reporting. FFS </w:t>
      </w:r>
      <w:r>
        <w:t>whether</w:t>
      </w:r>
      <w:r>
        <w:rPr>
          <w:rFonts w:hint="eastAsia"/>
        </w:rPr>
        <w:t xml:space="preserve"> device capability is needed.</w:t>
      </w:r>
    </w:p>
    <w:p w14:paraId="713F4F51" w14:textId="77777777" w:rsidR="00275298" w:rsidRDefault="00275298" w:rsidP="00275298">
      <w:pPr>
        <w:pStyle w:val="ObservationandProposal"/>
      </w:pPr>
      <w:r>
        <w:rPr>
          <w:rFonts w:hint="eastAsia"/>
        </w:rPr>
        <w:t>Proposal 4.</w:t>
      </w:r>
      <w:r>
        <w:tab/>
      </w:r>
      <w:r>
        <w:rPr>
          <w:rFonts w:hint="eastAsia"/>
        </w:rPr>
        <w:t>A-IoT reader can indicate for A-IoT devices not to trigger energy status reporting</w:t>
      </w:r>
      <w:r w:rsidRPr="000E0A97">
        <w:rPr>
          <w:rFonts w:hint="eastAsia"/>
        </w:rPr>
        <w:t xml:space="preserve"> </w:t>
      </w:r>
      <w:r>
        <w:rPr>
          <w:rFonts w:hint="eastAsia"/>
        </w:rPr>
        <w:t>via A-IoT paging.</w:t>
      </w:r>
    </w:p>
    <w:p w14:paraId="5C55E327" w14:textId="77777777" w:rsidR="00275298" w:rsidRPr="00262F8E" w:rsidRDefault="00275298" w:rsidP="007E2FC8">
      <w:pPr>
        <w:rPr>
          <w:szCs w:val="22"/>
        </w:rPr>
      </w:pP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0ABE6146" w:rsidR="007E2FC8" w:rsidRDefault="00F2773A" w:rsidP="00452602">
      <w:pPr>
        <w:pStyle w:val="Reference"/>
      </w:pPr>
      <w:r>
        <w:rPr>
          <w:rFonts w:hint="eastAsia"/>
        </w:rPr>
        <w:t>[1]</w:t>
      </w:r>
      <w:r w:rsidR="00452602">
        <w:tab/>
      </w:r>
      <w:r w:rsidR="00F705B9">
        <w:rPr>
          <w:rFonts w:hint="eastAsia"/>
        </w:rPr>
        <w:t xml:space="preserve">RP-240826, </w:t>
      </w:r>
      <w:r w:rsidR="00F705B9">
        <w:t>“</w:t>
      </w:r>
      <w:r w:rsidR="00F705B9" w:rsidRPr="00F705B9">
        <w:t>Revised SID: Study on solutions for Ambient IoT (Internet of Things) in NR</w:t>
      </w:r>
      <w:r w:rsidR="00F705B9">
        <w:rPr>
          <w:rFonts w:hint="eastAsia"/>
        </w:rPr>
        <w:t>,</w:t>
      </w:r>
      <w:r w:rsidR="00F705B9">
        <w:t>”</w:t>
      </w:r>
      <w:r w:rsidR="00F705B9">
        <w:rPr>
          <w:rFonts w:hint="eastAsia"/>
        </w:rPr>
        <w:t xml:space="preserve"> RAN#103.</w:t>
      </w:r>
    </w:p>
    <w:p w14:paraId="3EEA0E32" w14:textId="39D55B49" w:rsidR="00A6332C" w:rsidRPr="00262F8E" w:rsidRDefault="00F2773A" w:rsidP="00452602">
      <w:pPr>
        <w:pStyle w:val="Reference"/>
      </w:pPr>
      <w:r>
        <w:rPr>
          <w:rFonts w:hint="eastAsia"/>
        </w:rPr>
        <w:t>[2]</w:t>
      </w:r>
      <w:r w:rsidR="00A6332C">
        <w:tab/>
      </w:r>
      <w:r w:rsidR="00A6332C">
        <w:rPr>
          <w:rFonts w:hint="eastAsia"/>
        </w:rPr>
        <w:t>Chair</w:t>
      </w:r>
      <w:r w:rsidR="00A6332C">
        <w:t>’</w:t>
      </w:r>
      <w:r w:rsidR="00A6332C">
        <w:rPr>
          <w:rFonts w:hint="eastAsia"/>
        </w:rPr>
        <w:t>s notes, RAN2#127-bis.</w:t>
      </w:r>
    </w:p>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B1EB3" w14:textId="77777777" w:rsidR="006B1B3F" w:rsidRDefault="006B1B3F" w:rsidP="007E2FC8">
      <w:pPr>
        <w:spacing w:after="0"/>
      </w:pPr>
      <w:r>
        <w:separator/>
      </w:r>
    </w:p>
    <w:p w14:paraId="7355703F" w14:textId="77777777" w:rsidR="006B1B3F" w:rsidRDefault="006B1B3F"/>
    <w:p w14:paraId="2FC01C12" w14:textId="77777777" w:rsidR="006B1B3F" w:rsidRDefault="006B1B3F" w:rsidP="00273403"/>
  </w:endnote>
  <w:endnote w:type="continuationSeparator" w:id="0">
    <w:p w14:paraId="72D7CC41" w14:textId="77777777" w:rsidR="006B1B3F" w:rsidRDefault="006B1B3F" w:rsidP="007E2FC8">
      <w:pPr>
        <w:spacing w:after="0"/>
      </w:pPr>
      <w:r>
        <w:continuationSeparator/>
      </w:r>
    </w:p>
    <w:p w14:paraId="5BC3DB9D" w14:textId="77777777" w:rsidR="006B1B3F" w:rsidRDefault="006B1B3F"/>
    <w:p w14:paraId="03CCF593" w14:textId="77777777" w:rsidR="006B1B3F" w:rsidRDefault="006B1B3F"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6C2A6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6C2A6A" w:rsidRDefault="006C2A6A">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6C2A6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D4E7D" w14:textId="77777777" w:rsidR="006B1B3F" w:rsidRDefault="006B1B3F" w:rsidP="007E2FC8">
      <w:pPr>
        <w:spacing w:after="0"/>
      </w:pPr>
      <w:r>
        <w:separator/>
      </w:r>
    </w:p>
    <w:p w14:paraId="45591EF3" w14:textId="77777777" w:rsidR="006B1B3F" w:rsidRDefault="006B1B3F"/>
    <w:p w14:paraId="07052EC4" w14:textId="77777777" w:rsidR="006B1B3F" w:rsidRDefault="006B1B3F" w:rsidP="00273403"/>
  </w:footnote>
  <w:footnote w:type="continuationSeparator" w:id="0">
    <w:p w14:paraId="606A69A6" w14:textId="77777777" w:rsidR="006B1B3F" w:rsidRDefault="006B1B3F" w:rsidP="007E2FC8">
      <w:pPr>
        <w:spacing w:after="0"/>
      </w:pPr>
      <w:r>
        <w:continuationSeparator/>
      </w:r>
    </w:p>
    <w:p w14:paraId="6D63EAD4" w14:textId="77777777" w:rsidR="006B1B3F" w:rsidRDefault="006B1B3F"/>
    <w:p w14:paraId="2D34CBF1" w14:textId="77777777" w:rsidR="006B1B3F" w:rsidRDefault="006B1B3F"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F458D8"/>
    <w:multiLevelType w:val="hybridMultilevel"/>
    <w:tmpl w:val="6E182C42"/>
    <w:lvl w:ilvl="0" w:tplc="3E6656E2">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58596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A4618"/>
    <w:rsid w:val="000B6616"/>
    <w:rsid w:val="000E0A97"/>
    <w:rsid w:val="00120812"/>
    <w:rsid w:val="001213B9"/>
    <w:rsid w:val="001376E5"/>
    <w:rsid w:val="001E1D1E"/>
    <w:rsid w:val="00254CCA"/>
    <w:rsid w:val="00262F8E"/>
    <w:rsid w:val="00273403"/>
    <w:rsid w:val="00275298"/>
    <w:rsid w:val="002B1143"/>
    <w:rsid w:val="002B674A"/>
    <w:rsid w:val="002B7BBD"/>
    <w:rsid w:val="00300CF5"/>
    <w:rsid w:val="00313FFF"/>
    <w:rsid w:val="00385B37"/>
    <w:rsid w:val="003965B3"/>
    <w:rsid w:val="003B2BE6"/>
    <w:rsid w:val="00452602"/>
    <w:rsid w:val="004A3CEE"/>
    <w:rsid w:val="004D1B48"/>
    <w:rsid w:val="004E6B03"/>
    <w:rsid w:val="004F6390"/>
    <w:rsid w:val="00514913"/>
    <w:rsid w:val="00525415"/>
    <w:rsid w:val="00537958"/>
    <w:rsid w:val="00566E27"/>
    <w:rsid w:val="005839E2"/>
    <w:rsid w:val="005857F6"/>
    <w:rsid w:val="005A19D7"/>
    <w:rsid w:val="005A337F"/>
    <w:rsid w:val="005C254D"/>
    <w:rsid w:val="005F0423"/>
    <w:rsid w:val="005F0CA1"/>
    <w:rsid w:val="005F1EB4"/>
    <w:rsid w:val="005F73C8"/>
    <w:rsid w:val="0064067A"/>
    <w:rsid w:val="006B1B3F"/>
    <w:rsid w:val="006C2A6A"/>
    <w:rsid w:val="00735D62"/>
    <w:rsid w:val="00797AD0"/>
    <w:rsid w:val="007B58D4"/>
    <w:rsid w:val="007E2FC8"/>
    <w:rsid w:val="00803C46"/>
    <w:rsid w:val="0083168F"/>
    <w:rsid w:val="00870774"/>
    <w:rsid w:val="00896DC7"/>
    <w:rsid w:val="008C16A3"/>
    <w:rsid w:val="008C2D47"/>
    <w:rsid w:val="008E5A66"/>
    <w:rsid w:val="0092515C"/>
    <w:rsid w:val="00955FAE"/>
    <w:rsid w:val="009B64EF"/>
    <w:rsid w:val="00A32033"/>
    <w:rsid w:val="00A6057B"/>
    <w:rsid w:val="00A6332C"/>
    <w:rsid w:val="00AB422A"/>
    <w:rsid w:val="00AE7722"/>
    <w:rsid w:val="00B01ADF"/>
    <w:rsid w:val="00B135D1"/>
    <w:rsid w:val="00B21E6A"/>
    <w:rsid w:val="00B2624C"/>
    <w:rsid w:val="00B329A1"/>
    <w:rsid w:val="00B735D6"/>
    <w:rsid w:val="00C97CFC"/>
    <w:rsid w:val="00D8679B"/>
    <w:rsid w:val="00D94041"/>
    <w:rsid w:val="00DB3109"/>
    <w:rsid w:val="00DB76B3"/>
    <w:rsid w:val="00DC50EF"/>
    <w:rsid w:val="00DD53A9"/>
    <w:rsid w:val="00E2631E"/>
    <w:rsid w:val="00E26795"/>
    <w:rsid w:val="00E61AD3"/>
    <w:rsid w:val="00EB1AD1"/>
    <w:rsid w:val="00ED69D6"/>
    <w:rsid w:val="00F06BDD"/>
    <w:rsid w:val="00F136DD"/>
    <w:rsid w:val="00F2773A"/>
    <w:rsid w:val="00F560E5"/>
    <w:rsid w:val="00F70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F06BDD"/>
    <w:pPr>
      <w:ind w:leftChars="400" w:left="840"/>
    </w:pPr>
  </w:style>
  <w:style w:type="table" w:styleId="ab">
    <w:name w:val="Table Grid"/>
    <w:basedOn w:val="a1"/>
    <w:uiPriority w:val="39"/>
    <w:rsid w:val="001213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213B9"/>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1213B9"/>
    <w:rPr>
      <w:rFonts w:eastAsia="ＭＳ 明朝"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1069</Words>
  <Characters>6097</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42</cp:revision>
  <dcterms:created xsi:type="dcterms:W3CDTF">2021-10-20T07:13:00Z</dcterms:created>
  <dcterms:modified xsi:type="dcterms:W3CDTF">2024-11-08T00:00:00Z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